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Conoce la nueva norma para Ingresos por Contratos con Clientes: la NIF D-1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Al inicio de este 2018 entró en vigor la Norma de Información Financiera, NIF D-1 </w:t>
      </w:r>
      <w:r w:rsidDel="00000000" w:rsidR="00000000" w:rsidRPr="00000000">
        <w:rPr>
          <w:i w:val="1"/>
          <w:color w:val="222222"/>
          <w:rtl w:val="0"/>
        </w:rPr>
        <w:t xml:space="preserve">Ingresos por Contratos con Clientes</w:t>
      </w:r>
      <w:r w:rsidDel="00000000" w:rsidR="00000000" w:rsidRPr="00000000">
        <w:rPr>
          <w:color w:val="222222"/>
          <w:rtl w:val="0"/>
        </w:rPr>
        <w:t xml:space="preserve">, que promueve el Consejo Mexicano de Normas de Información Financiera. Su aplicación, de carácter obligatorio, requiere importantes cambios que ya debían implementarse desde 2017.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i w:val="1"/>
          <w:color w:val="222222"/>
        </w:rPr>
      </w:pPr>
      <w:r w:rsidDel="00000000" w:rsidR="00000000" w:rsidRPr="00000000">
        <w:rPr>
          <w:color w:val="222222"/>
          <w:rtl w:val="0"/>
        </w:rPr>
        <w:t xml:space="preserve">La NIF D-1 representa un cambio relevante en la normatividad contable mexicana; previo a su emisión existía un vacío en la normativa en curso y, en ausencia de un estatuto particular, se aplicaba la Norma Internacional de Contabilidad (NIC) 18 </w:t>
      </w:r>
      <w:r w:rsidDel="00000000" w:rsidR="00000000" w:rsidRPr="00000000">
        <w:rPr>
          <w:i w:val="1"/>
          <w:color w:val="222222"/>
          <w:rtl w:val="0"/>
        </w:rPr>
        <w:t xml:space="preserve">Ingresos de Actividades Ordinarias. 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 obstante, la NIC 18 no contemplaba los últimos cambios originados en el ámbito internacional y permitía una serie de prácticas contables que resultan inconsistentes entre entidades de una misma industria. Por lo tanto, con la intención de mejorar la comparabilidad y la transparencia, se originó la Norma Internacional de Información Financiera (NIIF) 15 </w:t>
      </w:r>
      <w:r w:rsidDel="00000000" w:rsidR="00000000" w:rsidRPr="00000000">
        <w:rPr>
          <w:i w:val="1"/>
          <w:color w:val="222222"/>
          <w:rtl w:val="0"/>
        </w:rPr>
        <w:t xml:space="preserve">Ingresos de Actividades Ordinarias Procedentes de Contratos con Clientes, </w:t>
      </w:r>
      <w:r w:rsidDel="00000000" w:rsidR="00000000" w:rsidRPr="00000000">
        <w:rPr>
          <w:color w:val="222222"/>
          <w:rtl w:val="0"/>
        </w:rPr>
        <w:t xml:space="preserve">también vigente desde el 1 de enero de 2018.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“La NIF D-1 presenta información útil a los usuarios de los estados financieros de ingresos y flujos de efectivo que surgen de contratos de una empresa con sus clientes. La información que surge de reconocer estos ingresos por bienes y servicios es de suma importancia para evaluar también el rendimiento financiero de una empresa o negocio.”, señala Manuel Bautista, representante de Microsip en la Ciudad de México.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nueva NIF D-1 está fundamentada en un modelo de cinco aspectos básicos para reconocer, medir e identificar los ingresos: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Identificar la naturaleza o tipo de contrato con el cliente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Identificar los derechos y obligaciones que se deben cumplir en el contrato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Determinar el monto de la transacción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Asignar la contraprestación de la transacción entre las obligaciones a cumplir en el contrato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Reconocer el ingreso cuando la entidad satisfaga cada obligación a cumplir</w:t>
      </w:r>
    </w:p>
    <w:p w:rsidR="00000000" w:rsidDel="00000000" w:rsidP="00000000" w:rsidRDefault="00000000" w:rsidRPr="00000000" w14:paraId="00000013">
      <w:pPr>
        <w:spacing w:after="220" w:before="220" w:lineRule="auto"/>
        <w:contextualSpacing w:val="0"/>
        <w:jc w:val="both"/>
        <w:rPr>
          <w:color w:val="414141"/>
        </w:rPr>
      </w:pPr>
      <w:bookmarkStart w:colFirst="0" w:colLast="0" w:name="_gjdgxs" w:id="0"/>
      <w:bookmarkEnd w:id="0"/>
      <w:r w:rsidDel="00000000" w:rsidR="00000000" w:rsidRPr="00000000">
        <w:rPr>
          <w:color w:val="414141"/>
          <w:rtl w:val="0"/>
        </w:rPr>
        <w:t xml:space="preserve">“Parece un proceso sencillo y lógico, pero en realidad tiene su grado de complejidad, lo cual se </w:t>
      </w:r>
      <w:r w:rsidDel="00000000" w:rsidR="00000000" w:rsidRPr="00000000">
        <w:rPr>
          <w:color w:val="414141"/>
          <w:rtl w:val="0"/>
        </w:rPr>
        <w:t xml:space="preserve">puede revertir con la práctica. Esta norma (NIF D-1) requiere procesos que identifiquen los componentes de cada transacción y controles que aseguren que se registró de forma adecuada, por ejemplo. Son muchísimas las especificaciones y, por eso, se debe conocer cada aspecto de la norma a profundidad”, agregó Bautista.</w:t>
      </w:r>
    </w:p>
    <w:p w:rsidR="00000000" w:rsidDel="00000000" w:rsidP="00000000" w:rsidRDefault="00000000" w:rsidRPr="00000000" w14:paraId="00000014">
      <w:pPr>
        <w:spacing w:after="220" w:before="220" w:lineRule="auto"/>
        <w:contextualSpacing w:val="0"/>
        <w:jc w:val="both"/>
        <w:rPr>
          <w:color w:val="4141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20" w:before="220" w:lineRule="auto"/>
        <w:contextualSpacing w:val="0"/>
        <w:jc w:val="both"/>
        <w:rPr>
          <w:color w:val="4141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20" w:before="220" w:lineRule="auto"/>
        <w:contextualSpacing w:val="0"/>
        <w:jc w:val="both"/>
        <w:rPr>
          <w:color w:val="4141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20" w:before="220" w:lineRule="auto"/>
        <w:contextualSpacing w:val="0"/>
        <w:jc w:val="both"/>
        <w:rPr>
          <w:color w:val="414141"/>
        </w:rPr>
      </w:pPr>
      <w:r w:rsidDel="00000000" w:rsidR="00000000" w:rsidRPr="00000000">
        <w:rPr>
          <w:color w:val="414141"/>
          <w:rtl w:val="0"/>
        </w:rPr>
        <w:t xml:space="preserve">La NIF D-1 se deberá aplicar en todas las entidades que lleven a cabo venta de bienes o prestación de servicios. Es posible que algunas empresas deban hacer ajustes en sus operaciones y en sus controles internos para ser más eficientes en su ciclo de ingresos, el cual termina hasta que se cobra lo que se vendió. </w:t>
      </w:r>
    </w:p>
    <w:p w:rsidR="00000000" w:rsidDel="00000000" w:rsidP="00000000" w:rsidRDefault="00000000" w:rsidRPr="00000000" w14:paraId="00000018">
      <w:pPr>
        <w:spacing w:after="220" w:before="220" w:lineRule="auto"/>
        <w:contextualSpacing w:val="0"/>
        <w:jc w:val="both"/>
        <w:rPr>
          <w:color w:val="6f6f6f"/>
          <w:sz w:val="20"/>
          <w:szCs w:val="20"/>
          <w:highlight w:val="white"/>
        </w:rPr>
      </w:pPr>
      <w:r w:rsidDel="00000000" w:rsidR="00000000" w:rsidRPr="00000000">
        <w:rPr>
          <w:color w:val="414141"/>
          <w:rtl w:val="0"/>
        </w:rPr>
        <w:t xml:space="preserve">Se espera que esta NIF D-1 tenga un impacto en las empresas en donde, posiblemente, se deberán implementar nuevos sistemas, procesos y controles. Es necesario que las entidades económicas evalúen los alcances de la aplicación de esta norma en la formulación de estados financieros durante el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color w:val="41414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4057650</wp:posOffset>
          </wp:positionH>
          <wp:positionV relativeFrom="paragraph">
            <wp:posOffset>47627</wp:posOffset>
          </wp:positionV>
          <wp:extent cx="1886630" cy="84296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6630" cy="8429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